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3D845" w14:textId="77777777" w:rsidR="007C3AAA" w:rsidRDefault="007C3AAA" w:rsidP="007C3AAA">
      <w:pPr>
        <w:pStyle w:val="BodyText"/>
        <w:rPr>
          <w:b/>
          <w:bCs/>
          <w:sz w:val="24"/>
          <w:szCs w:val="24"/>
        </w:rPr>
      </w:pPr>
      <w:r w:rsidRPr="00FA52BA">
        <w:rPr>
          <w:b/>
          <w:bCs/>
          <w:sz w:val="24"/>
          <w:szCs w:val="24"/>
        </w:rPr>
        <w:t xml:space="preserve">Annex: OSR review findings and recommendations </w:t>
      </w:r>
    </w:p>
    <w:tbl>
      <w:tblPr>
        <w:tblStyle w:val="TableGrid"/>
        <w:tblW w:w="0" w:type="auto"/>
        <w:tblLook w:val="04A0" w:firstRow="1" w:lastRow="0" w:firstColumn="1" w:lastColumn="0" w:noHBand="0" w:noVBand="1"/>
      </w:tblPr>
      <w:tblGrid>
        <w:gridCol w:w="2096"/>
        <w:gridCol w:w="3417"/>
        <w:gridCol w:w="3503"/>
      </w:tblGrid>
      <w:tr w:rsidR="007C3AAA" w14:paraId="4D44192A" w14:textId="77777777" w:rsidTr="001C391A">
        <w:tc>
          <w:tcPr>
            <w:tcW w:w="2122" w:type="dxa"/>
            <w:shd w:val="clear" w:color="auto" w:fill="003D59"/>
          </w:tcPr>
          <w:p w14:paraId="2E2CAF33" w14:textId="77777777" w:rsidR="007C3AAA" w:rsidRDefault="007C3AAA" w:rsidP="001C391A">
            <w:pPr>
              <w:pStyle w:val="BodyText"/>
              <w:spacing w:before="120" w:after="120"/>
              <w:rPr>
                <w:b/>
                <w:bCs/>
                <w:sz w:val="24"/>
                <w:szCs w:val="24"/>
              </w:rPr>
            </w:pPr>
          </w:p>
        </w:tc>
        <w:tc>
          <w:tcPr>
            <w:tcW w:w="6804" w:type="dxa"/>
            <w:shd w:val="clear" w:color="auto" w:fill="003D59"/>
          </w:tcPr>
          <w:p w14:paraId="034A1318" w14:textId="77777777" w:rsidR="007C3AAA" w:rsidRDefault="007C3AAA" w:rsidP="001C391A">
            <w:pPr>
              <w:pStyle w:val="BodyText"/>
              <w:spacing w:before="120" w:after="120"/>
              <w:rPr>
                <w:b/>
                <w:bCs/>
                <w:sz w:val="24"/>
                <w:szCs w:val="24"/>
              </w:rPr>
            </w:pPr>
            <w:r>
              <w:rPr>
                <w:b/>
                <w:bCs/>
                <w:sz w:val="24"/>
                <w:szCs w:val="24"/>
              </w:rPr>
              <w:t>Findings</w:t>
            </w:r>
          </w:p>
        </w:tc>
        <w:tc>
          <w:tcPr>
            <w:tcW w:w="5976" w:type="dxa"/>
            <w:shd w:val="clear" w:color="auto" w:fill="003D59"/>
          </w:tcPr>
          <w:p w14:paraId="4BCB31D8" w14:textId="77777777" w:rsidR="007C3AAA" w:rsidRDefault="007C3AAA" w:rsidP="001C391A">
            <w:pPr>
              <w:pStyle w:val="BodyText"/>
              <w:spacing w:before="120" w:after="120"/>
              <w:rPr>
                <w:b/>
                <w:bCs/>
                <w:sz w:val="24"/>
                <w:szCs w:val="24"/>
              </w:rPr>
            </w:pPr>
            <w:r>
              <w:rPr>
                <w:b/>
                <w:bCs/>
                <w:sz w:val="24"/>
                <w:szCs w:val="24"/>
              </w:rPr>
              <w:t>Recommendations</w:t>
            </w:r>
          </w:p>
        </w:tc>
      </w:tr>
      <w:tr w:rsidR="007C3AAA" w14:paraId="68AA6BA1" w14:textId="77777777" w:rsidTr="001C391A">
        <w:tc>
          <w:tcPr>
            <w:tcW w:w="2122" w:type="dxa"/>
            <w:shd w:val="clear" w:color="auto" w:fill="003D59"/>
          </w:tcPr>
          <w:p w14:paraId="48864E1A" w14:textId="77777777" w:rsidR="007C3AAA" w:rsidRDefault="007C3AAA" w:rsidP="001C391A">
            <w:pPr>
              <w:pStyle w:val="BodyText"/>
              <w:spacing w:before="120" w:after="120"/>
              <w:rPr>
                <w:b/>
                <w:bCs/>
                <w:sz w:val="24"/>
                <w:szCs w:val="24"/>
              </w:rPr>
            </w:pPr>
            <w:r>
              <w:rPr>
                <w:b/>
                <w:bCs/>
                <w:sz w:val="24"/>
                <w:szCs w:val="24"/>
              </w:rPr>
              <w:t>Quality</w:t>
            </w:r>
          </w:p>
        </w:tc>
        <w:tc>
          <w:tcPr>
            <w:tcW w:w="6804" w:type="dxa"/>
          </w:tcPr>
          <w:p w14:paraId="636F2039" w14:textId="77777777" w:rsidR="007C3AAA" w:rsidRDefault="007C3AAA" w:rsidP="001C391A">
            <w:pPr>
              <w:pStyle w:val="BodyText"/>
              <w:spacing w:before="120" w:after="120"/>
              <w:rPr>
                <w:b/>
                <w:bCs/>
                <w:sz w:val="24"/>
                <w:szCs w:val="24"/>
              </w:rPr>
            </w:pPr>
            <w:r w:rsidRPr="00372763">
              <w:rPr>
                <w:sz w:val="24"/>
                <w:szCs w:val="24"/>
              </w:rPr>
              <w:t>The</w:t>
            </w:r>
            <w:r>
              <w:rPr>
                <w:sz w:val="24"/>
                <w:szCs w:val="24"/>
              </w:rPr>
              <w:t xml:space="preserve"> landing page for the publication </w:t>
            </w:r>
            <w:r w:rsidRPr="00372763">
              <w:rPr>
                <w:sz w:val="24"/>
                <w:szCs w:val="24"/>
              </w:rPr>
              <w:t xml:space="preserve">notes “All data presented in these statistics include vaccinations administered in Hospital Hubs, Local Vaccination Service sites (e.g. GP practices) and Vaccination Centres”. This is helpful but </w:t>
            </w:r>
            <w:r>
              <w:rPr>
                <w:sz w:val="24"/>
                <w:szCs w:val="24"/>
              </w:rPr>
              <w:t>p</w:t>
            </w:r>
            <w:r w:rsidRPr="00372763">
              <w:rPr>
                <w:sz w:val="24"/>
                <w:szCs w:val="24"/>
              </w:rPr>
              <w:t xml:space="preserve">rovides no sense </w:t>
            </w:r>
            <w:r>
              <w:rPr>
                <w:sz w:val="24"/>
                <w:szCs w:val="24"/>
              </w:rPr>
              <w:t>of whether</w:t>
            </w:r>
            <w:r w:rsidRPr="00372763">
              <w:rPr>
                <w:sz w:val="24"/>
                <w:szCs w:val="24"/>
              </w:rPr>
              <w:t xml:space="preserve"> </w:t>
            </w:r>
            <w:r>
              <w:rPr>
                <w:sz w:val="24"/>
                <w:szCs w:val="24"/>
              </w:rPr>
              <w:t>the data captures all</w:t>
            </w:r>
            <w:r w:rsidRPr="00372763">
              <w:rPr>
                <w:sz w:val="24"/>
                <w:szCs w:val="24"/>
              </w:rPr>
              <w:t xml:space="preserve"> settings where vaccination might occur</w:t>
            </w:r>
            <w:r>
              <w:rPr>
                <w:sz w:val="24"/>
                <w:szCs w:val="24"/>
              </w:rPr>
              <w:t>.</w:t>
            </w:r>
          </w:p>
        </w:tc>
        <w:tc>
          <w:tcPr>
            <w:tcW w:w="5976" w:type="dxa"/>
          </w:tcPr>
          <w:p w14:paraId="3934104F" w14:textId="77777777" w:rsidR="007C3AAA" w:rsidRPr="0087108C" w:rsidRDefault="007C3AAA" w:rsidP="001C391A">
            <w:pPr>
              <w:pStyle w:val="CommentText"/>
              <w:spacing w:before="120" w:after="120"/>
              <w:rPr>
                <w:sz w:val="24"/>
                <w:szCs w:val="24"/>
              </w:rPr>
            </w:pPr>
            <w:r w:rsidRPr="0087108C">
              <w:rPr>
                <w:sz w:val="24"/>
                <w:szCs w:val="24"/>
              </w:rPr>
              <w:t xml:space="preserve">NHS E&amp;I should provide information about whether data </w:t>
            </w:r>
            <w:r>
              <w:rPr>
                <w:sz w:val="24"/>
                <w:szCs w:val="24"/>
              </w:rPr>
              <w:t>are</w:t>
            </w:r>
            <w:r w:rsidRPr="0087108C">
              <w:rPr>
                <w:sz w:val="24"/>
                <w:szCs w:val="24"/>
              </w:rPr>
              <w:t xml:space="preserve"> collected from every source or whether there are gaps in coverage.</w:t>
            </w:r>
          </w:p>
          <w:p w14:paraId="1D628C3B" w14:textId="77777777" w:rsidR="007C3AAA" w:rsidRDefault="007C3AAA" w:rsidP="001C391A">
            <w:pPr>
              <w:pStyle w:val="BodyText"/>
              <w:spacing w:before="120" w:after="120"/>
              <w:rPr>
                <w:b/>
                <w:bCs/>
                <w:sz w:val="24"/>
                <w:szCs w:val="24"/>
              </w:rPr>
            </w:pPr>
          </w:p>
        </w:tc>
      </w:tr>
      <w:tr w:rsidR="007C3AAA" w14:paraId="5338CDD1" w14:textId="77777777" w:rsidTr="001C391A">
        <w:tc>
          <w:tcPr>
            <w:tcW w:w="2122" w:type="dxa"/>
            <w:shd w:val="clear" w:color="auto" w:fill="003D59"/>
          </w:tcPr>
          <w:p w14:paraId="6CEFE22B" w14:textId="77777777" w:rsidR="007C3AAA" w:rsidRDefault="007C3AAA" w:rsidP="001C391A">
            <w:pPr>
              <w:pStyle w:val="BodyText"/>
              <w:spacing w:before="120" w:after="120"/>
              <w:rPr>
                <w:b/>
                <w:bCs/>
                <w:sz w:val="24"/>
                <w:szCs w:val="24"/>
              </w:rPr>
            </w:pPr>
          </w:p>
        </w:tc>
        <w:tc>
          <w:tcPr>
            <w:tcW w:w="6804" w:type="dxa"/>
          </w:tcPr>
          <w:p w14:paraId="49C46DED" w14:textId="77777777" w:rsidR="007C3AAA" w:rsidRDefault="007C3AAA" w:rsidP="001C391A">
            <w:pPr>
              <w:pStyle w:val="BodyText"/>
              <w:spacing w:before="120" w:after="120"/>
              <w:rPr>
                <w:b/>
                <w:bCs/>
                <w:sz w:val="24"/>
                <w:szCs w:val="24"/>
              </w:rPr>
            </w:pPr>
            <w:r w:rsidRPr="6618FC29">
              <w:rPr>
                <w:sz w:val="24"/>
                <w:szCs w:val="24"/>
                <w:shd w:val="clear" w:color="auto" w:fill="FFFFFF"/>
              </w:rPr>
              <w:t xml:space="preserve">The </w:t>
            </w:r>
            <w:r>
              <w:rPr>
                <w:sz w:val="24"/>
                <w:szCs w:val="24"/>
                <w:shd w:val="clear" w:color="auto" w:fill="FFFFFF"/>
              </w:rPr>
              <w:t xml:space="preserve">daily </w:t>
            </w:r>
            <w:r w:rsidRPr="6618FC29">
              <w:rPr>
                <w:sz w:val="24"/>
                <w:szCs w:val="24"/>
                <w:shd w:val="clear" w:color="auto" w:fill="FFFFFF"/>
              </w:rPr>
              <w:t>output notes “These are provisional data providing timely daily updates. The data may be updated as it is refreshed and subject to further validation prior to inclusion in the weekly release”</w:t>
            </w:r>
            <w:r>
              <w:rPr>
                <w:sz w:val="24"/>
                <w:szCs w:val="24"/>
                <w:shd w:val="clear" w:color="auto" w:fill="FFFFFF"/>
              </w:rPr>
              <w:t xml:space="preserve">. Any further </w:t>
            </w:r>
            <w:r w:rsidRPr="6618FC29">
              <w:rPr>
                <w:sz w:val="24"/>
                <w:szCs w:val="24"/>
                <w:shd w:val="clear" w:color="auto" w:fill="FFFFFF"/>
              </w:rPr>
              <w:t>information about the data (metadata) remains quite sparse and so it is difficult for users to understand the data collection process, measures of quality, the quality control applied and any impacts on the quality and timeliness of the data presented.</w:t>
            </w:r>
          </w:p>
        </w:tc>
        <w:tc>
          <w:tcPr>
            <w:tcW w:w="5976" w:type="dxa"/>
          </w:tcPr>
          <w:p w14:paraId="0FBA02EE" w14:textId="77777777" w:rsidR="007C3AAA" w:rsidRPr="000D0501" w:rsidRDefault="007C3AAA" w:rsidP="001C391A">
            <w:pPr>
              <w:pStyle w:val="CommentText"/>
              <w:spacing w:before="120" w:after="120"/>
              <w:rPr>
                <w:iCs/>
                <w:sz w:val="24"/>
                <w:szCs w:val="24"/>
                <w:shd w:val="clear" w:color="auto" w:fill="FFFFFF"/>
              </w:rPr>
            </w:pPr>
            <w:r w:rsidRPr="000D0501">
              <w:rPr>
                <w:iCs/>
                <w:sz w:val="24"/>
                <w:szCs w:val="24"/>
                <w:shd w:val="clear" w:color="auto" w:fill="FFFFFF"/>
              </w:rPr>
              <w:t>NHS E&amp;I should provide more detail on the quality assurance processes and quality metrics for the data.</w:t>
            </w:r>
          </w:p>
          <w:p w14:paraId="6E0F122A" w14:textId="77777777" w:rsidR="007C3AAA" w:rsidRDefault="007C3AAA" w:rsidP="001C391A">
            <w:pPr>
              <w:pStyle w:val="BodyText"/>
              <w:spacing w:before="120" w:after="120"/>
              <w:rPr>
                <w:b/>
                <w:bCs/>
                <w:sz w:val="24"/>
                <w:szCs w:val="24"/>
              </w:rPr>
            </w:pPr>
          </w:p>
        </w:tc>
      </w:tr>
      <w:tr w:rsidR="007C3AAA" w14:paraId="48938E99" w14:textId="77777777" w:rsidTr="001C391A">
        <w:tc>
          <w:tcPr>
            <w:tcW w:w="2122" w:type="dxa"/>
            <w:shd w:val="clear" w:color="auto" w:fill="003D59"/>
          </w:tcPr>
          <w:p w14:paraId="453CAECE" w14:textId="77777777" w:rsidR="007C3AAA" w:rsidRDefault="007C3AAA" w:rsidP="001C391A">
            <w:pPr>
              <w:pStyle w:val="BodyText"/>
              <w:spacing w:before="120" w:after="120"/>
              <w:rPr>
                <w:b/>
                <w:bCs/>
                <w:sz w:val="24"/>
                <w:szCs w:val="24"/>
              </w:rPr>
            </w:pPr>
          </w:p>
        </w:tc>
        <w:tc>
          <w:tcPr>
            <w:tcW w:w="6804" w:type="dxa"/>
          </w:tcPr>
          <w:p w14:paraId="440AF38C" w14:textId="77777777" w:rsidR="007C3AAA" w:rsidRDefault="007C3AAA" w:rsidP="001C391A">
            <w:pPr>
              <w:pStyle w:val="BodyText"/>
              <w:spacing w:before="120" w:after="120"/>
              <w:rPr>
                <w:b/>
                <w:bCs/>
                <w:sz w:val="24"/>
                <w:szCs w:val="24"/>
              </w:rPr>
            </w:pPr>
            <w:r w:rsidRPr="007118F5">
              <w:rPr>
                <w:sz w:val="24"/>
                <w:szCs w:val="24"/>
              </w:rPr>
              <w:t>In the weekly pdf output, there is a section on data. It notes that “figures may be updated in future weeks as further information flows from local point of care systems”.</w:t>
            </w:r>
          </w:p>
        </w:tc>
        <w:tc>
          <w:tcPr>
            <w:tcW w:w="5976" w:type="dxa"/>
          </w:tcPr>
          <w:p w14:paraId="732E0C1C" w14:textId="77777777" w:rsidR="007C3AAA" w:rsidRPr="007A1E86" w:rsidRDefault="007C3AAA" w:rsidP="001C391A">
            <w:pPr>
              <w:pStyle w:val="CommentText"/>
              <w:spacing w:before="120" w:after="120"/>
              <w:rPr>
                <w:sz w:val="24"/>
                <w:szCs w:val="24"/>
              </w:rPr>
            </w:pPr>
            <w:r w:rsidRPr="007A1E86">
              <w:rPr>
                <w:sz w:val="24"/>
                <w:szCs w:val="24"/>
              </w:rPr>
              <w:t>NHS E&amp;I should indicate how timely the data are from collection to being published and how long it takes to get 100% of the data to the statistics.</w:t>
            </w:r>
          </w:p>
        </w:tc>
      </w:tr>
      <w:tr w:rsidR="007C3AAA" w14:paraId="7639BB55" w14:textId="77777777" w:rsidTr="001C391A">
        <w:tc>
          <w:tcPr>
            <w:tcW w:w="2122" w:type="dxa"/>
            <w:shd w:val="clear" w:color="auto" w:fill="003D59"/>
          </w:tcPr>
          <w:p w14:paraId="5FD26A4F" w14:textId="77777777" w:rsidR="007C3AAA" w:rsidRDefault="007C3AAA" w:rsidP="001C391A">
            <w:pPr>
              <w:pStyle w:val="BodyText"/>
              <w:spacing w:before="120" w:after="120"/>
              <w:rPr>
                <w:b/>
                <w:bCs/>
                <w:sz w:val="24"/>
                <w:szCs w:val="24"/>
              </w:rPr>
            </w:pPr>
          </w:p>
        </w:tc>
        <w:tc>
          <w:tcPr>
            <w:tcW w:w="6804" w:type="dxa"/>
          </w:tcPr>
          <w:p w14:paraId="264533AA" w14:textId="77777777" w:rsidR="007C3AAA" w:rsidRDefault="007C3AAA" w:rsidP="001C391A">
            <w:pPr>
              <w:pStyle w:val="BodyText"/>
              <w:spacing w:before="120" w:after="120"/>
              <w:rPr>
                <w:b/>
                <w:bCs/>
                <w:sz w:val="24"/>
                <w:szCs w:val="24"/>
              </w:rPr>
            </w:pPr>
            <w:r w:rsidRPr="007A1E86">
              <w:rPr>
                <w:sz w:val="24"/>
                <w:szCs w:val="24"/>
              </w:rPr>
              <w:t xml:space="preserve">The metadata provides some explanation of the strengths and limitations of the data, using the National Immunisation Management Service (NIMS). “NIMS denominators may provide an </w:t>
            </w:r>
            <w:r w:rsidRPr="007A1E86">
              <w:rPr>
                <w:sz w:val="24"/>
                <w:szCs w:val="24"/>
              </w:rPr>
              <w:lastRenderedPageBreak/>
              <w:t xml:space="preserve">overcount if individuals are no longer resident in </w:t>
            </w:r>
            <w:proofErr w:type="gramStart"/>
            <w:r w:rsidRPr="007A1E86">
              <w:rPr>
                <w:sz w:val="24"/>
                <w:szCs w:val="24"/>
              </w:rPr>
              <w:t>England, but</w:t>
            </w:r>
            <w:proofErr w:type="gramEnd"/>
            <w:r w:rsidRPr="007A1E86">
              <w:rPr>
                <w:sz w:val="24"/>
                <w:szCs w:val="24"/>
              </w:rPr>
              <w:t xml:space="preserve"> may also be subject to some undercounting as they currently do not include individuals without an NHS number. Coverage can be viewed as being ‘at least’ the figures presented using the NIMS denominator”.</w:t>
            </w:r>
          </w:p>
        </w:tc>
        <w:tc>
          <w:tcPr>
            <w:tcW w:w="5976" w:type="dxa"/>
          </w:tcPr>
          <w:p w14:paraId="47DBC7DD" w14:textId="77777777" w:rsidR="007C3AAA" w:rsidRPr="007A1E86" w:rsidRDefault="007C3AAA" w:rsidP="001C391A">
            <w:pPr>
              <w:spacing w:before="120" w:after="120"/>
            </w:pPr>
            <w:r w:rsidRPr="007A1E86">
              <w:lastRenderedPageBreak/>
              <w:t xml:space="preserve">NHS E&amp;I should publish </w:t>
            </w:r>
            <w:r w:rsidRPr="00245585">
              <w:t>more</w:t>
            </w:r>
            <w:r>
              <w:t>-</w:t>
            </w:r>
            <w:r w:rsidRPr="00245585">
              <w:t>detailed explanations about the strengths and weaknesses of the denominators</w:t>
            </w:r>
            <w:r w:rsidRPr="007A1E86">
              <w:t>.</w:t>
            </w:r>
          </w:p>
          <w:p w14:paraId="558F5196" w14:textId="77777777" w:rsidR="007C3AAA" w:rsidRDefault="007C3AAA" w:rsidP="001C391A">
            <w:pPr>
              <w:pStyle w:val="BodyText"/>
              <w:spacing w:before="120" w:after="120"/>
              <w:rPr>
                <w:b/>
                <w:bCs/>
                <w:sz w:val="24"/>
                <w:szCs w:val="24"/>
              </w:rPr>
            </w:pPr>
          </w:p>
        </w:tc>
      </w:tr>
      <w:tr w:rsidR="007C3AAA" w14:paraId="1E381497" w14:textId="77777777" w:rsidTr="001C391A">
        <w:tc>
          <w:tcPr>
            <w:tcW w:w="2122" w:type="dxa"/>
            <w:shd w:val="clear" w:color="auto" w:fill="003D59"/>
          </w:tcPr>
          <w:p w14:paraId="1FD4B5E6" w14:textId="77777777" w:rsidR="007C3AAA" w:rsidRDefault="007C3AAA" w:rsidP="001C391A">
            <w:pPr>
              <w:pStyle w:val="BodyText"/>
              <w:spacing w:before="120" w:after="120"/>
              <w:rPr>
                <w:b/>
                <w:bCs/>
                <w:sz w:val="24"/>
                <w:szCs w:val="24"/>
              </w:rPr>
            </w:pPr>
          </w:p>
        </w:tc>
        <w:tc>
          <w:tcPr>
            <w:tcW w:w="6804" w:type="dxa"/>
          </w:tcPr>
          <w:p w14:paraId="3E530282" w14:textId="77777777" w:rsidR="007C3AAA" w:rsidRDefault="007C3AAA" w:rsidP="001C391A">
            <w:pPr>
              <w:pStyle w:val="BodyText"/>
              <w:spacing w:before="120" w:after="120"/>
              <w:rPr>
                <w:b/>
                <w:bCs/>
                <w:sz w:val="24"/>
                <w:szCs w:val="24"/>
              </w:rPr>
            </w:pPr>
            <w:r>
              <w:rPr>
                <w:sz w:val="24"/>
                <w:szCs w:val="24"/>
              </w:rPr>
              <w:t xml:space="preserve">Separate denominators have been chosen to calculate the percentages for hospital workers, or residents of care homes. There is a risk of double counting if additions are made between </w:t>
            </w:r>
            <w:proofErr w:type="gramStart"/>
            <w:r>
              <w:rPr>
                <w:sz w:val="24"/>
                <w:szCs w:val="24"/>
              </w:rPr>
              <w:t>various different</w:t>
            </w:r>
            <w:proofErr w:type="gramEnd"/>
            <w:r>
              <w:rPr>
                <w:sz w:val="24"/>
                <w:szCs w:val="24"/>
              </w:rPr>
              <w:t xml:space="preserve"> settings and the general data tables detailing vaccinations by age or region, for example.</w:t>
            </w:r>
          </w:p>
        </w:tc>
        <w:tc>
          <w:tcPr>
            <w:tcW w:w="5976" w:type="dxa"/>
          </w:tcPr>
          <w:p w14:paraId="119419C9" w14:textId="77777777" w:rsidR="007C3AAA" w:rsidRPr="002D158B" w:rsidRDefault="007C3AAA" w:rsidP="001C391A">
            <w:pPr>
              <w:pStyle w:val="BodyText"/>
              <w:spacing w:before="120" w:after="120"/>
              <w:rPr>
                <w:sz w:val="24"/>
                <w:szCs w:val="24"/>
              </w:rPr>
            </w:pPr>
            <w:r w:rsidRPr="002D158B">
              <w:rPr>
                <w:sz w:val="24"/>
                <w:szCs w:val="24"/>
              </w:rPr>
              <w:t xml:space="preserve">NHS E&amp;I should make clear if the data have been de-duplicated and </w:t>
            </w:r>
            <w:proofErr w:type="gramStart"/>
            <w:r w:rsidRPr="002D158B">
              <w:rPr>
                <w:sz w:val="24"/>
                <w:szCs w:val="24"/>
              </w:rPr>
              <w:t>whether or not</w:t>
            </w:r>
            <w:proofErr w:type="gramEnd"/>
            <w:r w:rsidRPr="002D158B">
              <w:rPr>
                <w:sz w:val="24"/>
                <w:szCs w:val="24"/>
              </w:rPr>
              <w:t xml:space="preserve"> the different tables should be added or compared.</w:t>
            </w:r>
          </w:p>
          <w:p w14:paraId="79ADDE5A" w14:textId="77777777" w:rsidR="007C3AAA" w:rsidRDefault="007C3AAA" w:rsidP="001C391A">
            <w:pPr>
              <w:pStyle w:val="BodyText"/>
              <w:spacing w:before="120" w:after="120"/>
              <w:rPr>
                <w:b/>
                <w:bCs/>
                <w:sz w:val="24"/>
                <w:szCs w:val="24"/>
              </w:rPr>
            </w:pPr>
          </w:p>
        </w:tc>
      </w:tr>
      <w:tr w:rsidR="007C3AAA" w14:paraId="4FF2A6FE" w14:textId="77777777" w:rsidTr="001C391A">
        <w:tc>
          <w:tcPr>
            <w:tcW w:w="2122" w:type="dxa"/>
            <w:shd w:val="clear" w:color="auto" w:fill="003D59"/>
          </w:tcPr>
          <w:p w14:paraId="687A9BED" w14:textId="77777777" w:rsidR="007C3AAA" w:rsidRDefault="007C3AAA" w:rsidP="001C391A">
            <w:pPr>
              <w:pStyle w:val="BodyText"/>
              <w:spacing w:before="120" w:after="120"/>
              <w:rPr>
                <w:b/>
                <w:bCs/>
                <w:sz w:val="24"/>
                <w:szCs w:val="24"/>
              </w:rPr>
            </w:pPr>
            <w:r>
              <w:rPr>
                <w:b/>
                <w:bCs/>
                <w:sz w:val="24"/>
                <w:szCs w:val="24"/>
              </w:rPr>
              <w:t>Value</w:t>
            </w:r>
          </w:p>
        </w:tc>
        <w:tc>
          <w:tcPr>
            <w:tcW w:w="6804" w:type="dxa"/>
          </w:tcPr>
          <w:p w14:paraId="42BCC058" w14:textId="77777777" w:rsidR="007C3AAA" w:rsidRPr="00555368" w:rsidRDefault="007C3AAA" w:rsidP="001C391A">
            <w:pPr>
              <w:pStyle w:val="BodyText"/>
              <w:spacing w:before="120" w:after="120"/>
              <w:rPr>
                <w:sz w:val="24"/>
                <w:szCs w:val="24"/>
              </w:rPr>
            </w:pPr>
            <w:r w:rsidRPr="007A07D0">
              <w:rPr>
                <w:sz w:val="24"/>
                <w:szCs w:val="24"/>
              </w:rPr>
              <w:t xml:space="preserve">The range of data published by NHS E&amp;I are of significant public interest and are highly valued. Daily vaccination data </w:t>
            </w:r>
            <w:r>
              <w:rPr>
                <w:sz w:val="24"/>
                <w:szCs w:val="24"/>
              </w:rPr>
              <w:t>are</w:t>
            </w:r>
            <w:r w:rsidRPr="007A07D0">
              <w:rPr>
                <w:sz w:val="24"/>
                <w:szCs w:val="24"/>
              </w:rPr>
              <w:t xml:space="preserve"> </w:t>
            </w:r>
            <w:r>
              <w:rPr>
                <w:sz w:val="24"/>
                <w:szCs w:val="24"/>
              </w:rPr>
              <w:t xml:space="preserve">also </w:t>
            </w:r>
            <w:r w:rsidRPr="007A07D0">
              <w:rPr>
                <w:sz w:val="24"/>
                <w:szCs w:val="24"/>
              </w:rPr>
              <w:t xml:space="preserve">available by country </w:t>
            </w:r>
            <w:r>
              <w:rPr>
                <w:sz w:val="24"/>
                <w:szCs w:val="24"/>
              </w:rPr>
              <w:t>i</w:t>
            </w:r>
            <w:r w:rsidRPr="007A07D0">
              <w:rPr>
                <w:sz w:val="24"/>
                <w:szCs w:val="24"/>
              </w:rPr>
              <w:t xml:space="preserve">n the </w:t>
            </w:r>
            <w:hyperlink r:id="rId4">
              <w:r w:rsidRPr="006A1697">
                <w:rPr>
                  <w:rStyle w:val="Hyperlink"/>
                </w:rPr>
                <w:t>gov.uk</w:t>
              </w:r>
            </w:hyperlink>
            <w:r w:rsidRPr="007A07D0">
              <w:rPr>
                <w:sz w:val="24"/>
                <w:szCs w:val="24"/>
              </w:rPr>
              <w:t xml:space="preserve"> daily dashboard, and the daily total for England on the dashboard matches the NHSE daily total for England. </w:t>
            </w:r>
            <w:r w:rsidRPr="009561F5">
              <w:rPr>
                <w:sz w:val="24"/>
                <w:szCs w:val="24"/>
              </w:rPr>
              <w:t>However, there is a notable inconsistency in the information on percentage of population vaccinated. Uptake figures on the dashboard for the UK are based on percentage of the population aged 18 and over, while the NHSE&amp;I weekly pdf highlights percentage of population 16 and over. It is not clear why 16 and over has been used.</w:t>
            </w:r>
          </w:p>
        </w:tc>
        <w:tc>
          <w:tcPr>
            <w:tcW w:w="5976" w:type="dxa"/>
          </w:tcPr>
          <w:p w14:paraId="5E2BC35D" w14:textId="77777777" w:rsidR="007C3AAA" w:rsidRPr="00156100" w:rsidRDefault="007C3AAA" w:rsidP="001C391A">
            <w:pPr>
              <w:pStyle w:val="BodyText"/>
              <w:spacing w:before="120" w:after="120"/>
              <w:rPr>
                <w:sz w:val="24"/>
                <w:szCs w:val="24"/>
              </w:rPr>
            </w:pPr>
            <w:r w:rsidRPr="00156100">
              <w:rPr>
                <w:sz w:val="24"/>
                <w:szCs w:val="24"/>
              </w:rPr>
              <w:t>NHS E&amp;I should consider how</w:t>
            </w:r>
            <w:r>
              <w:rPr>
                <w:sz w:val="24"/>
                <w:szCs w:val="24"/>
              </w:rPr>
              <w:t xml:space="preserve"> to improve coherence with other available sources of information about vaccinations. Where figures do not match, the reason for this should be clearly explained.</w:t>
            </w:r>
          </w:p>
        </w:tc>
      </w:tr>
      <w:tr w:rsidR="007C3AAA" w14:paraId="1B7153B1" w14:textId="77777777" w:rsidTr="001C391A">
        <w:tc>
          <w:tcPr>
            <w:tcW w:w="2122" w:type="dxa"/>
            <w:shd w:val="clear" w:color="auto" w:fill="003D59"/>
          </w:tcPr>
          <w:p w14:paraId="2AFD40CE" w14:textId="77777777" w:rsidR="007C3AAA" w:rsidRDefault="007C3AAA" w:rsidP="001C391A">
            <w:pPr>
              <w:pStyle w:val="BodyText"/>
              <w:spacing w:before="120" w:after="120"/>
              <w:rPr>
                <w:b/>
                <w:bCs/>
                <w:sz w:val="24"/>
                <w:szCs w:val="24"/>
              </w:rPr>
            </w:pPr>
          </w:p>
        </w:tc>
        <w:tc>
          <w:tcPr>
            <w:tcW w:w="6804" w:type="dxa"/>
          </w:tcPr>
          <w:p w14:paraId="50ABF334" w14:textId="77777777" w:rsidR="007C3AAA" w:rsidRPr="002B0A71" w:rsidRDefault="007C3AAA" w:rsidP="001C391A">
            <w:pPr>
              <w:pStyle w:val="BodyText"/>
              <w:spacing w:before="120" w:after="120"/>
              <w:rPr>
                <w:sz w:val="24"/>
                <w:szCs w:val="24"/>
              </w:rPr>
            </w:pPr>
            <w:r w:rsidRPr="00A3619F">
              <w:rPr>
                <w:sz w:val="24"/>
                <w:szCs w:val="24"/>
              </w:rPr>
              <w:t xml:space="preserve">Some of the excel tables in the weekly release include a calculation of percentage of vaccinations by eligible </w:t>
            </w:r>
            <w:r w:rsidRPr="00A3619F">
              <w:rPr>
                <w:sz w:val="24"/>
                <w:szCs w:val="24"/>
              </w:rPr>
              <w:lastRenderedPageBreak/>
              <w:t>population for that setting or geographical area. The metadata notes “The ONS estimates are the most recent and best available total population estimates and are used to approximate vaccine uptake by national, regional, Integrated Care System (ICS) / Sustainability Transformation Partnership (STP) and Clinical Commissioning Group (CCG) geographies.” Other topics whose percentages are presented include gender &amp; age group, care home residents &amp; staff, social care staff, Trust staff and Clinically Extremely Vulnerable people.</w:t>
            </w:r>
          </w:p>
        </w:tc>
        <w:tc>
          <w:tcPr>
            <w:tcW w:w="5976" w:type="dxa"/>
          </w:tcPr>
          <w:p w14:paraId="6F9DFFF5" w14:textId="77777777" w:rsidR="007C3AAA" w:rsidRPr="00156100" w:rsidRDefault="007C3AAA" w:rsidP="001C391A">
            <w:pPr>
              <w:pStyle w:val="BodyText"/>
              <w:spacing w:before="120" w:after="120"/>
              <w:rPr>
                <w:sz w:val="24"/>
                <w:szCs w:val="24"/>
              </w:rPr>
            </w:pPr>
          </w:p>
        </w:tc>
      </w:tr>
      <w:tr w:rsidR="007C3AAA" w14:paraId="3BA115F1" w14:textId="77777777" w:rsidTr="001C391A">
        <w:tc>
          <w:tcPr>
            <w:tcW w:w="2122" w:type="dxa"/>
            <w:shd w:val="clear" w:color="auto" w:fill="003D59"/>
          </w:tcPr>
          <w:p w14:paraId="65A4602D" w14:textId="77777777" w:rsidR="007C3AAA" w:rsidRDefault="007C3AAA" w:rsidP="001C391A">
            <w:pPr>
              <w:pStyle w:val="BodyText"/>
              <w:spacing w:before="120" w:after="120"/>
              <w:rPr>
                <w:b/>
                <w:bCs/>
                <w:sz w:val="24"/>
                <w:szCs w:val="24"/>
              </w:rPr>
            </w:pPr>
          </w:p>
        </w:tc>
        <w:tc>
          <w:tcPr>
            <w:tcW w:w="6804" w:type="dxa"/>
          </w:tcPr>
          <w:p w14:paraId="6E0A84FF" w14:textId="77777777" w:rsidR="007C3AAA" w:rsidRPr="00A3619F" w:rsidRDefault="007C3AAA" w:rsidP="001C391A">
            <w:pPr>
              <w:pStyle w:val="BodyText"/>
              <w:spacing w:before="120" w:after="120"/>
              <w:rPr>
                <w:sz w:val="24"/>
                <w:szCs w:val="24"/>
              </w:rPr>
            </w:pPr>
            <w:r w:rsidRPr="002B0A71">
              <w:rPr>
                <w:sz w:val="24"/>
                <w:szCs w:val="24"/>
              </w:rPr>
              <w:t xml:space="preserve">While the increased volume of data is welcome, the presentation of the data in the spreadsheet can make it hard to interpret. It is likely the publication will become increasingly unwieldy as more breakdowns and combinations of breakdowns are added in future. Consideration should be given to how the data can be presented in a more accessible way. For example, this could include making more of the data available via the gov.uk daily dashboard or considering how to make more use of the accompanying pdf to support users in understanding what the data are showing.  </w:t>
            </w:r>
          </w:p>
        </w:tc>
        <w:tc>
          <w:tcPr>
            <w:tcW w:w="5976" w:type="dxa"/>
          </w:tcPr>
          <w:p w14:paraId="249D24FF" w14:textId="77777777" w:rsidR="007C3AAA" w:rsidRDefault="007C3AAA" w:rsidP="001C391A">
            <w:pPr>
              <w:pStyle w:val="BodyText"/>
              <w:spacing w:before="120" w:after="120"/>
              <w:rPr>
                <w:b/>
                <w:bCs/>
                <w:sz w:val="24"/>
                <w:szCs w:val="24"/>
              </w:rPr>
            </w:pPr>
            <w:r w:rsidRPr="00156100">
              <w:rPr>
                <w:sz w:val="24"/>
                <w:szCs w:val="24"/>
              </w:rPr>
              <w:t xml:space="preserve">NHS E&amp;I should consider how to develop the accessibility of </w:t>
            </w:r>
            <w:r>
              <w:rPr>
                <w:sz w:val="24"/>
                <w:szCs w:val="24"/>
              </w:rPr>
              <w:t xml:space="preserve">the </w:t>
            </w:r>
            <w:r w:rsidRPr="00156100">
              <w:rPr>
                <w:sz w:val="24"/>
                <w:szCs w:val="24"/>
              </w:rPr>
              <w:t>data.</w:t>
            </w:r>
          </w:p>
        </w:tc>
      </w:tr>
      <w:tr w:rsidR="007C3AAA" w14:paraId="4FC19E1A" w14:textId="77777777" w:rsidTr="001C391A">
        <w:tc>
          <w:tcPr>
            <w:tcW w:w="2122" w:type="dxa"/>
            <w:shd w:val="clear" w:color="auto" w:fill="003D59"/>
          </w:tcPr>
          <w:p w14:paraId="2DD38715" w14:textId="77777777" w:rsidR="007C3AAA" w:rsidRDefault="007C3AAA" w:rsidP="001C391A">
            <w:pPr>
              <w:pStyle w:val="BodyText"/>
              <w:spacing w:before="120" w:after="120"/>
              <w:rPr>
                <w:b/>
                <w:bCs/>
                <w:sz w:val="24"/>
                <w:szCs w:val="24"/>
              </w:rPr>
            </w:pPr>
          </w:p>
        </w:tc>
        <w:tc>
          <w:tcPr>
            <w:tcW w:w="6804" w:type="dxa"/>
          </w:tcPr>
          <w:p w14:paraId="26F203E0" w14:textId="77777777" w:rsidR="007C3AAA" w:rsidRDefault="007C3AAA" w:rsidP="001C391A">
            <w:pPr>
              <w:pStyle w:val="BodyText"/>
              <w:spacing w:before="120" w:after="120"/>
              <w:rPr>
                <w:sz w:val="24"/>
                <w:szCs w:val="24"/>
              </w:rPr>
            </w:pPr>
            <w:r w:rsidRPr="00A3619F">
              <w:rPr>
                <w:sz w:val="24"/>
                <w:szCs w:val="24"/>
              </w:rPr>
              <w:t xml:space="preserve">The weekly pdf output is very short, but the commentary does give the reader a sense of how the vaccination programme is progressing. Inclusion of the deadlines and </w:t>
            </w:r>
            <w:r w:rsidRPr="00A3619F">
              <w:rPr>
                <w:sz w:val="24"/>
                <w:szCs w:val="24"/>
              </w:rPr>
              <w:lastRenderedPageBreak/>
              <w:t>commentary on progress in the narrative for each of the Joint Committee on Vaccination and Immunisation (JCVI) priority groups would be helpful. Whilst the published statistics detail the number of first and second doses given, additional value could be provided by noting the difference between the number of individuals vaccinated and the number of vaccinations given.</w:t>
            </w:r>
          </w:p>
          <w:p w14:paraId="2D8B7AA6" w14:textId="77777777" w:rsidR="007C3AAA" w:rsidRPr="00692E2A" w:rsidRDefault="007C3AAA" w:rsidP="001C391A">
            <w:r>
              <w:t>The publication would be enhanced by providing information on its purpose so that users can understand what information it should expect to see here and where they may need to look elsewhere. It would also be supported by publication of plans for developing the statistics.</w:t>
            </w:r>
          </w:p>
        </w:tc>
        <w:tc>
          <w:tcPr>
            <w:tcW w:w="5976" w:type="dxa"/>
          </w:tcPr>
          <w:p w14:paraId="5AECF6B7" w14:textId="77777777" w:rsidR="007C3AAA" w:rsidRPr="003C2581" w:rsidRDefault="007C3AAA" w:rsidP="001C391A">
            <w:pPr>
              <w:pStyle w:val="BodyText"/>
              <w:spacing w:before="120" w:after="120"/>
              <w:rPr>
                <w:sz w:val="24"/>
                <w:szCs w:val="24"/>
              </w:rPr>
            </w:pPr>
            <w:r>
              <w:rPr>
                <w:sz w:val="24"/>
                <w:szCs w:val="24"/>
              </w:rPr>
              <w:lastRenderedPageBreak/>
              <w:t>NHS E&amp;I should e</w:t>
            </w:r>
            <w:r w:rsidRPr="000D13A7">
              <w:rPr>
                <w:sz w:val="24"/>
                <w:szCs w:val="24"/>
              </w:rPr>
              <w:t>nsure that users</w:t>
            </w:r>
            <w:r>
              <w:rPr>
                <w:sz w:val="24"/>
                <w:szCs w:val="24"/>
              </w:rPr>
              <w:t xml:space="preserve"> </w:t>
            </w:r>
            <w:r w:rsidRPr="000D13A7">
              <w:rPr>
                <w:sz w:val="24"/>
                <w:szCs w:val="24"/>
              </w:rPr>
              <w:t>are aware of</w:t>
            </w:r>
            <w:r>
              <w:rPr>
                <w:sz w:val="24"/>
                <w:szCs w:val="24"/>
              </w:rPr>
              <w:t xml:space="preserve"> </w:t>
            </w:r>
            <w:r w:rsidRPr="000D13A7">
              <w:rPr>
                <w:sz w:val="24"/>
                <w:szCs w:val="24"/>
              </w:rPr>
              <w:t>important contextual</w:t>
            </w:r>
            <w:r>
              <w:rPr>
                <w:sz w:val="24"/>
                <w:szCs w:val="24"/>
              </w:rPr>
              <w:t xml:space="preserve"> </w:t>
            </w:r>
            <w:r w:rsidRPr="000D13A7">
              <w:rPr>
                <w:sz w:val="24"/>
                <w:szCs w:val="24"/>
              </w:rPr>
              <w:t>information</w:t>
            </w:r>
            <w:r>
              <w:rPr>
                <w:sz w:val="24"/>
                <w:szCs w:val="24"/>
              </w:rPr>
              <w:t>, such as the policy background and progress against key ambitions.</w:t>
            </w:r>
          </w:p>
        </w:tc>
      </w:tr>
      <w:tr w:rsidR="007C3AAA" w14:paraId="70E19BAE" w14:textId="77777777" w:rsidTr="001C391A">
        <w:tc>
          <w:tcPr>
            <w:tcW w:w="2122" w:type="dxa"/>
            <w:shd w:val="clear" w:color="auto" w:fill="003D59"/>
          </w:tcPr>
          <w:p w14:paraId="51DB1A32" w14:textId="77777777" w:rsidR="007C3AAA" w:rsidRDefault="007C3AAA" w:rsidP="001C391A">
            <w:pPr>
              <w:pStyle w:val="BodyText"/>
              <w:spacing w:before="120" w:after="120"/>
              <w:rPr>
                <w:b/>
                <w:bCs/>
                <w:sz w:val="24"/>
                <w:szCs w:val="24"/>
              </w:rPr>
            </w:pPr>
          </w:p>
        </w:tc>
        <w:tc>
          <w:tcPr>
            <w:tcW w:w="6804" w:type="dxa"/>
          </w:tcPr>
          <w:p w14:paraId="5D88C655" w14:textId="77777777" w:rsidR="007C3AAA" w:rsidRDefault="007C3AAA" w:rsidP="001C391A">
            <w:pPr>
              <w:pStyle w:val="BodyText"/>
              <w:spacing w:before="120" w:after="120"/>
              <w:rPr>
                <w:sz w:val="24"/>
                <w:szCs w:val="24"/>
              </w:rPr>
            </w:pPr>
            <w:r w:rsidRPr="007A07D0">
              <w:rPr>
                <w:sz w:val="24"/>
                <w:szCs w:val="24"/>
              </w:rPr>
              <w:t xml:space="preserve">The </w:t>
            </w:r>
            <w:r>
              <w:rPr>
                <w:sz w:val="24"/>
                <w:szCs w:val="24"/>
              </w:rPr>
              <w:t>v</w:t>
            </w:r>
            <w:r w:rsidRPr="007A07D0">
              <w:rPr>
                <w:sz w:val="24"/>
                <w:szCs w:val="24"/>
              </w:rPr>
              <w:t xml:space="preserve">accinations are presented by geographic area of residence and go down to detailed level of geography. </w:t>
            </w:r>
            <w:r w:rsidRPr="007A07D0">
              <w:rPr>
                <w:rStyle w:val="CommentReference"/>
                <w:sz w:val="24"/>
                <w:szCs w:val="24"/>
              </w:rPr>
              <w:t>Given the amount of scrutiny these</w:t>
            </w:r>
            <w:r w:rsidRPr="006151AD">
              <w:rPr>
                <w:rStyle w:val="CommentReference"/>
                <w:sz w:val="24"/>
                <w:szCs w:val="24"/>
              </w:rPr>
              <w:t xml:space="preserve"> data are getting in </w:t>
            </w:r>
            <w:r>
              <w:rPr>
                <w:rStyle w:val="CommentReference"/>
                <w:sz w:val="24"/>
                <w:szCs w:val="24"/>
              </w:rPr>
              <w:t>P</w:t>
            </w:r>
            <w:r w:rsidRPr="006151AD">
              <w:rPr>
                <w:rStyle w:val="CommentReference"/>
                <w:sz w:val="24"/>
                <w:szCs w:val="24"/>
              </w:rPr>
              <w:t xml:space="preserve">arliament it is helpful that </w:t>
            </w:r>
            <w:r w:rsidRPr="006151AD">
              <w:rPr>
                <w:sz w:val="24"/>
                <w:szCs w:val="24"/>
              </w:rPr>
              <w:t>they are presented for Parliamentary Constituency area.</w:t>
            </w:r>
          </w:p>
          <w:p w14:paraId="632D805F" w14:textId="77777777" w:rsidR="007C3AAA" w:rsidRPr="00A3619F" w:rsidRDefault="007C3AAA" w:rsidP="001C391A">
            <w:pPr>
              <w:pStyle w:val="BodyText"/>
              <w:spacing w:before="120" w:after="120"/>
              <w:rPr>
                <w:sz w:val="24"/>
                <w:szCs w:val="24"/>
              </w:rPr>
            </w:pPr>
            <w:r w:rsidRPr="00A3619F">
              <w:rPr>
                <w:sz w:val="24"/>
                <w:szCs w:val="24"/>
              </w:rPr>
              <w:t xml:space="preserve">The metadata notes “For smaller geographies (Middle Layer Super Output Area, Lower Tier Local Authority and constituency), ONS population estimates are less robust. Therefore, NIMS denominators are also provided at these more granular levels. They should be used when calculating vaccine coverage for public </w:t>
            </w:r>
            <w:r w:rsidRPr="00A3619F">
              <w:rPr>
                <w:sz w:val="24"/>
                <w:szCs w:val="24"/>
              </w:rPr>
              <w:lastRenderedPageBreak/>
              <w:t>health purposes.” Crucially, users may be confused about how to calculate the percentage of vaccinations by ethnicity or Parliamentary Constituency.</w:t>
            </w:r>
          </w:p>
        </w:tc>
        <w:tc>
          <w:tcPr>
            <w:tcW w:w="5976" w:type="dxa"/>
          </w:tcPr>
          <w:p w14:paraId="63A2A004" w14:textId="77777777" w:rsidR="007C3AAA" w:rsidRPr="00A3619F" w:rsidRDefault="007C3AAA" w:rsidP="001C391A">
            <w:pPr>
              <w:pStyle w:val="BodyText"/>
              <w:spacing w:before="120" w:after="120"/>
              <w:rPr>
                <w:sz w:val="24"/>
                <w:szCs w:val="24"/>
              </w:rPr>
            </w:pPr>
            <w:r w:rsidRPr="00A3619F">
              <w:rPr>
                <w:sz w:val="24"/>
                <w:szCs w:val="24"/>
              </w:rPr>
              <w:lastRenderedPageBreak/>
              <w:t>NHS E&amp;I should take steps to publish vaccination percentages by ethnicity, and the smaller geographies, using the best available estimate of denominator.</w:t>
            </w:r>
          </w:p>
        </w:tc>
      </w:tr>
      <w:tr w:rsidR="007C3AAA" w14:paraId="648BC909" w14:textId="77777777" w:rsidTr="001C391A">
        <w:tc>
          <w:tcPr>
            <w:tcW w:w="2122" w:type="dxa"/>
            <w:shd w:val="clear" w:color="auto" w:fill="003D59"/>
          </w:tcPr>
          <w:p w14:paraId="1A1E6770" w14:textId="77777777" w:rsidR="007C3AAA" w:rsidRDefault="007C3AAA" w:rsidP="001C391A">
            <w:pPr>
              <w:pStyle w:val="BodyText"/>
              <w:spacing w:before="120" w:after="120"/>
              <w:rPr>
                <w:b/>
                <w:bCs/>
                <w:sz w:val="24"/>
                <w:szCs w:val="24"/>
              </w:rPr>
            </w:pPr>
            <w:r>
              <w:rPr>
                <w:b/>
                <w:bCs/>
                <w:sz w:val="24"/>
                <w:szCs w:val="24"/>
              </w:rPr>
              <w:t>Trustworthiness</w:t>
            </w:r>
          </w:p>
        </w:tc>
        <w:tc>
          <w:tcPr>
            <w:tcW w:w="6804" w:type="dxa"/>
          </w:tcPr>
          <w:p w14:paraId="1B72E5AB" w14:textId="77777777" w:rsidR="007C3AAA" w:rsidRPr="002D158B" w:rsidRDefault="007C3AAA" w:rsidP="001C391A">
            <w:pPr>
              <w:spacing w:before="120" w:after="120"/>
              <w:rPr>
                <w:shd w:val="clear" w:color="auto" w:fill="FFFFFF"/>
              </w:rPr>
            </w:pPr>
            <w:r w:rsidRPr="6618FC29">
              <w:t>The outputs are appropriately marked as management information, subject to revision. This is also noted in each tab of the workbook “</w:t>
            </w:r>
            <w:r w:rsidRPr="6618FC29">
              <w:rPr>
                <w:shd w:val="clear" w:color="auto" w:fill="FFFFFF"/>
              </w:rPr>
              <w:t>the figures presented may be revised and as such it is likely that figures for the most recent weeks are subject to change. Any changes to historic figures will be reflected in the most recent data publication.”</w:t>
            </w:r>
          </w:p>
        </w:tc>
        <w:tc>
          <w:tcPr>
            <w:tcW w:w="5976" w:type="dxa"/>
          </w:tcPr>
          <w:p w14:paraId="21E18A85" w14:textId="77777777" w:rsidR="007C3AAA" w:rsidRDefault="007C3AAA" w:rsidP="001C391A">
            <w:pPr>
              <w:pStyle w:val="BodyText"/>
              <w:spacing w:before="120" w:after="120"/>
              <w:rPr>
                <w:b/>
                <w:bCs/>
                <w:sz w:val="24"/>
                <w:szCs w:val="24"/>
              </w:rPr>
            </w:pPr>
          </w:p>
        </w:tc>
      </w:tr>
    </w:tbl>
    <w:p w14:paraId="7AA8C0F1" w14:textId="77777777" w:rsidR="00F02399" w:rsidRDefault="000D3A64"/>
    <w:sectPr w:rsidR="00F023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ocumentProtection w:edit="readOnly"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AAA"/>
    <w:rsid w:val="000A379C"/>
    <w:rsid w:val="001B2C0F"/>
    <w:rsid w:val="00304459"/>
    <w:rsid w:val="007C3AAA"/>
    <w:rsid w:val="00C2080E"/>
    <w:rsid w:val="00F81B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C517B"/>
  <w15:chartTrackingRefBased/>
  <w15:docId w15:val="{2A5DB37C-EBC4-45B3-BAF6-BE49CBBFE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AAA"/>
    <w:pPr>
      <w:spacing w:after="240" w:line="240" w:lineRule="auto"/>
    </w:pPr>
    <w:rPr>
      <w:rFonts w:ascii="Arial" w:eastAsia="Times" w:hAnsi="Arial" w:cs="Arial"/>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7C3AAA"/>
    <w:rPr>
      <w:sz w:val="16"/>
      <w:szCs w:val="16"/>
    </w:rPr>
  </w:style>
  <w:style w:type="paragraph" w:styleId="CommentText">
    <w:name w:val="annotation text"/>
    <w:basedOn w:val="Normal"/>
    <w:link w:val="CommentTextChar"/>
    <w:uiPriority w:val="99"/>
    <w:rsid w:val="007C3AAA"/>
    <w:rPr>
      <w:sz w:val="20"/>
    </w:rPr>
  </w:style>
  <w:style w:type="character" w:customStyle="1" w:styleId="CommentTextChar">
    <w:name w:val="Comment Text Char"/>
    <w:basedOn w:val="DefaultParagraphFont"/>
    <w:link w:val="CommentText"/>
    <w:uiPriority w:val="99"/>
    <w:rsid w:val="007C3AAA"/>
    <w:rPr>
      <w:rFonts w:ascii="Arial" w:eastAsia="Times" w:hAnsi="Arial" w:cs="Arial"/>
      <w:sz w:val="20"/>
      <w:lang w:eastAsia="en-GB"/>
    </w:rPr>
  </w:style>
  <w:style w:type="character" w:styleId="Hyperlink">
    <w:name w:val="Hyperlink"/>
    <w:uiPriority w:val="99"/>
    <w:unhideWhenUsed/>
    <w:rsid w:val="007C3AAA"/>
    <w:rPr>
      <w:rFonts w:ascii="Arial" w:hAnsi="Arial"/>
      <w:color w:val="1624E0"/>
      <w:sz w:val="24"/>
      <w:u w:val="single"/>
    </w:rPr>
  </w:style>
  <w:style w:type="table" w:styleId="TableGrid">
    <w:name w:val="Table Grid"/>
    <w:basedOn w:val="TableNormal"/>
    <w:uiPriority w:val="59"/>
    <w:rsid w:val="007C3AAA"/>
    <w:pPr>
      <w:spacing w:after="0" w:line="240" w:lineRule="auto"/>
    </w:pPr>
    <w:rPr>
      <w:rFonts w:ascii="Times" w:eastAsia="Times" w:hAnsi="Times"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qFormat/>
    <w:rsid w:val="007C3AAA"/>
    <w:pPr>
      <w:spacing w:after="240" w:line="240" w:lineRule="auto"/>
    </w:pPr>
    <w:rPr>
      <w:rFonts w:ascii="Arial" w:eastAsia="Calibri" w:hAnsi="Arial" w:cs="Times New Roman"/>
    </w:rPr>
  </w:style>
  <w:style w:type="character" w:customStyle="1" w:styleId="BodyTextChar">
    <w:name w:val="Body Text Char"/>
    <w:basedOn w:val="DefaultParagraphFont"/>
    <w:link w:val="BodyText"/>
    <w:rsid w:val="007C3AAA"/>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ronavirus.data.gov.uk/details/vaccinations?areaType=nation&amp;areaName=Eng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1057</Words>
  <Characters>5724</Characters>
  <Application>Microsoft Office Word</Application>
  <DocSecurity>2</DocSecurity>
  <Lines>146</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Skinner, Leah</dc:creator>
  <cp:keywords/>
  <dc:description/>
  <cp:lastModifiedBy>Skinner, Leah</cp:lastModifiedBy>
  <cp:revision>2</cp:revision>
  <dcterms:created xsi:type="dcterms:W3CDTF">2021-04-01T10:02:00Z</dcterms:created>
  <dcterms:modified xsi:type="dcterms:W3CDTF">2021-04-01T10:02:00Z</dcterms:modified>
</cp:coreProperties>
</file>